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Coordinated Vulnerability Disclosure Policy</w:t>
      </w:r>
    </w:p>
    <w:p>
      <w:pPr>
        <w:jc w:val="center"/>
      </w:pPr>
      <w:r>
        <w:rPr>
          <w:i/>
          <w:color w:val="6B7280"/>
        </w:rPr>
        <w:t>Internal Security Engineering · v1.0 · Issued 2026-06-10</w:t>
      </w:r>
    </w:p>
    <w:p/>
    <w:p>
      <w:r>
        <w:t>This document describes how researchers and the public can report security</w:t>
        <w:br/>
        <w:t>vulnerabilities affecting products and services provided by the</w:t>
        <w:br/>
        <w:t>organization named above, and the commitments the vendor makes in</w:t>
        <w:br/>
        <w:t>response. It implements EU Cyber Resilience Act (Regulation 2024/2847)</w:t>
        <w:br/>
        <w:t>Annex I Part II §2.5 (coordinated disclosure policy) and §2.6 (facilitate</w:t>
        <w:br/>
        <w:t>information sharing), and aligns with ISO/IEC 29147:2018 and 30111:2019.</w:t>
        <w:br/>
      </w:r>
    </w:p>
    <w:p>
      <w:pPr>
        <w:pStyle w:val="Heading1"/>
      </w:pPr>
      <w:r>
        <w:rPr>
          <w:color w:val="1E3A8A"/>
        </w:rPr>
        <w:t>1. Scope</w:t>
      </w:r>
    </w:p>
    <w:p>
      <w:pPr>
        <w:pStyle w:val="IntenseQuote"/>
      </w:pPr>
      <w:r>
        <w:t>In-scope assets:</w:t>
      </w:r>
    </w:p>
    <w:p>
      <w:pPr>
        <w:pStyle w:val="ListBullet"/>
      </w:pPr>
      <w:r>
        <w:t>Products listed at the vendor's public catalog (/lookup).</w:t>
      </w:r>
    </w:p>
    <w:p>
      <w:pPr>
        <w:pStyle w:val="ListBullet"/>
      </w:pPr>
      <w:r>
        <w:t>Latest GA release and the immediately previous release of each product.</w:t>
      </w:r>
    </w:p>
    <w:p>
      <w:pPr>
        <w:pStyle w:val="ListBullet"/>
      </w:pPr>
      <w:r>
        <w:t>First-party services run by the organization at production endpoints.</w:t>
      </w:r>
    </w:p>
    <w:p>
      <w:pPr>
        <w:pStyle w:val="IntenseQuote"/>
      </w:pPr>
      <w:r>
        <w:t>Out-of-scope:</w:t>
      </w:r>
    </w:p>
    <w:p>
      <w:pPr>
        <w:pStyle w:val="ListBullet"/>
      </w:pPr>
      <w:r>
        <w:t>Social-engineering attacks against staff or supply-chain partners.</w:t>
      </w:r>
    </w:p>
    <w:p>
      <w:pPr>
        <w:pStyle w:val="ListBullet"/>
      </w:pPr>
      <w:r>
        <w:t>Physical attacks against vendor or customer facilities.</w:t>
      </w:r>
    </w:p>
    <w:p>
      <w:pPr>
        <w:pStyle w:val="ListBullet"/>
      </w:pPr>
      <w:r>
        <w:t>Denial-of-service attacks that interrupt customer service.</w:t>
      </w:r>
    </w:p>
    <w:p>
      <w:pPr>
        <w:pStyle w:val="ListBullet"/>
      </w:pPr>
      <w:r>
        <w:t>Findings depending on outdated browsers (&gt;2 versions old) or unsupported OS.</w:t>
      </w:r>
    </w:p>
    <w:p>
      <w:pPr>
        <w:pStyle w:val="ListBullet"/>
      </w:pPr>
      <w:r>
        <w:t>Reports generated solely by automated scanners without exploit demonstration.</w:t>
      </w:r>
    </w:p>
    <w:p>
      <w:pPr>
        <w:pStyle w:val="Heading1"/>
      </w:pPr>
      <w:r>
        <w:rPr>
          <w:color w:val="1E3A8A"/>
        </w:rPr>
        <w:t>2. Reporting Channels</w:t>
      </w:r>
    </w:p>
    <w:p>
      <w:pPr>
        <w:pStyle w:val="ListBullet"/>
      </w:pPr>
      <w:r>
        <w:t>Email: psirt@example.com</w:t>
      </w:r>
    </w:p>
    <w:p>
      <w:pPr>
        <w:pStyle w:val="ListBullet"/>
      </w:pPr>
      <w:r>
        <w:t>Web submission form: https://cradar-demo.hr-st.com.tw/security/submit</w:t>
      </w:r>
    </w:p>
    <w:p>
      <w:pPr>
        <w:pStyle w:val="ListBullet"/>
      </w:pPr>
      <w:r>
        <w:t>Preferred languages: en, zh-Hant</w:t>
      </w:r>
    </w:p>
    <w:p>
      <w:pPr>
        <w:pStyle w:val="Heading1"/>
      </w:pPr>
      <w:r>
        <w:rPr>
          <w:color w:val="1E3A8A"/>
        </w:rPr>
        <w:t>3. Service Level Agreement</w:t>
      </w:r>
    </w:p>
    <w:p>
      <w:pPr>
        <w:pStyle w:val="ListBullet"/>
      </w:pPr>
      <w:r>
        <w:t>Acknowledgement of receipt within 5 business days.</w:t>
      </w:r>
    </w:p>
    <w:p>
      <w:pPr>
        <w:pStyle w:val="ListBullet"/>
      </w:pPr>
      <w:r>
        <w:t>Initial substantive response within 10 business days.</w:t>
      </w:r>
    </w:p>
    <w:p>
      <w:pPr>
        <w:pStyle w:val="ListBullet"/>
      </w:pPr>
      <w:r>
        <w:t>Default coordinated-disclosure window: 90 days from acknowledgment.</w:t>
      </w:r>
    </w:p>
    <w:p>
      <w:r>
        <w:t>Default 90-day coordinated disclosure window can be extended by mutual agreement for complex vulnerabilities; researchers may request shorter timelines for actively exploited issues.</w:t>
      </w:r>
    </w:p>
    <w:p>
      <w:pPr>
        <w:pStyle w:val="Heading1"/>
      </w:pPr>
      <w:r>
        <w:rPr>
          <w:color w:val="1E3A8A"/>
        </w:rPr>
        <w:t>4. Safe Harbor</w:t>
      </w:r>
    </w:p>
    <w:p>
      <w:r>
        <w:t>Researchers acting in good faith and respecting this policy will not face civil, criminal, or administrative action initiated by the vendor. Good faith requires: (1) testing only in-scope assets, (2) avoiding service disruption and data destruction, (3) not accessing data beyond what is necessary to prove impact, (4) reporting through the channels listed above before public disclosure.</w:t>
      </w:r>
    </w:p>
    <w:p>
      <w:pPr>
        <w:pStyle w:val="Heading1"/>
      </w:pPr>
      <w:r>
        <w:rPr>
          <w:color w:val="1E3A8A"/>
        </w:rPr>
        <w:t>5. Rewards and Recognition</w:t>
      </w:r>
    </w:p>
    <w:p>
      <w:r>
        <w:t>This vendor does not currently operate a monetary bug-bounty programme. Researchers consenting to be named may be acknowledged in security advisories and the vendor's hall-of-fame page (when applicable).</w:t>
      </w:r>
    </w:p>
    <w:p>
      <w:pPr>
        <w:pStyle w:val="Heading1"/>
      </w:pPr>
      <w:r>
        <w:rPr>
          <w:color w:val="1E3A8A"/>
        </w:rPr>
        <w:t>6. Compliance Frameworks</w:t>
      </w:r>
    </w:p>
    <w:p>
      <w:pPr>
        <w:pStyle w:val="ListBullet"/>
      </w:pPr>
      <w:r>
        <w:t>EU CRA (Regulation 2024/2847) Annex I Part II §2.5 + §2.6</w:t>
      </w:r>
    </w:p>
    <w:p>
      <w:pPr>
        <w:pStyle w:val="ListBullet"/>
      </w:pPr>
      <w:r>
        <w:t>ISO/IEC 29147:2018 — Vulnerability disclosure</w:t>
      </w:r>
    </w:p>
    <w:p>
      <w:pPr>
        <w:pStyle w:val="ListBullet"/>
      </w:pPr>
      <w:r>
        <w:t>ISO/IEC 30111:2019 — Vulnerability handling processes</w:t>
      </w:r>
    </w:p>
    <w:p>
      <w:pPr>
        <w:pStyle w:val="Heading1"/>
      </w:pPr>
      <w:r>
        <w:rPr>
          <w:color w:val="1E3A8A"/>
        </w:rPr>
        <w:t>7. Document Information</w:t>
      </w:r>
    </w:p>
    <w:p>
      <w:r>
        <w:t>Policy version: 1.0</w:t>
      </w:r>
    </w:p>
    <w:p>
      <w:r>
        <w:t>Issued: 2026-06-10T08:43:46.446572+00:00</w:t>
      </w:r>
    </w:p>
    <w:p>
      <w:r>
        <w:t>Machine-readable JSON: https://cradar-demo.hr-st.com.tw/api/v1/cvd_policy.json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